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45" w:rsidRPr="007A6645" w:rsidRDefault="007A6645" w:rsidP="007A6645">
      <w:pPr>
        <w:widowControl/>
        <w:shd w:val="clear" w:color="auto" w:fill="FFFFFF"/>
        <w:spacing w:before="100" w:beforeAutospacing="1" w:after="100" w:afterAutospacing="1"/>
        <w:jc w:val="center"/>
        <w:outlineLvl w:val="1"/>
        <w:rPr>
          <w:rFonts w:ascii="黑体" w:eastAsia="黑体" w:hAnsi="黑体" w:cs="宋体"/>
          <w:b/>
          <w:bCs/>
          <w:color w:val="ED1A00"/>
          <w:kern w:val="36"/>
          <w:sz w:val="36"/>
          <w:szCs w:val="36"/>
        </w:rPr>
      </w:pPr>
      <w:bookmarkStart w:id="0" w:name="_GoBack"/>
      <w:r w:rsidRPr="007A6645">
        <w:rPr>
          <w:rFonts w:ascii="黑体" w:eastAsia="黑体" w:hAnsi="黑体" w:cs="宋体" w:hint="eastAsia"/>
          <w:b/>
          <w:bCs/>
          <w:color w:val="ED1A00"/>
          <w:kern w:val="36"/>
          <w:sz w:val="36"/>
          <w:szCs w:val="36"/>
        </w:rPr>
        <w:t>福建省城镇职工基本医疗保险2013年省级</w:t>
      </w:r>
      <w:proofErr w:type="gramStart"/>
      <w:r w:rsidRPr="007A6645">
        <w:rPr>
          <w:rFonts w:ascii="黑体" w:eastAsia="黑体" w:hAnsi="黑体" w:cs="宋体" w:hint="eastAsia"/>
          <w:b/>
          <w:bCs/>
          <w:color w:val="ED1A00"/>
          <w:kern w:val="36"/>
          <w:sz w:val="36"/>
          <w:szCs w:val="36"/>
        </w:rPr>
        <w:t>医保参保人员医疗</w:t>
      </w:r>
      <w:proofErr w:type="gramEnd"/>
      <w:r w:rsidRPr="007A6645">
        <w:rPr>
          <w:rFonts w:ascii="黑体" w:eastAsia="黑体" w:hAnsi="黑体" w:cs="宋体" w:hint="eastAsia"/>
          <w:b/>
          <w:bCs/>
          <w:color w:val="ED1A00"/>
          <w:kern w:val="36"/>
          <w:sz w:val="36"/>
          <w:szCs w:val="36"/>
        </w:rPr>
        <w:t>待遇表</w:t>
      </w:r>
    </w:p>
    <w:bookmarkEnd w:id="0"/>
    <w:p w:rsidR="007A6645" w:rsidRPr="007A6645" w:rsidRDefault="007A6645" w:rsidP="007A6645">
      <w:pPr>
        <w:widowControl/>
        <w:shd w:val="clear" w:color="auto" w:fill="FFFFFF"/>
        <w:jc w:val="center"/>
        <w:rPr>
          <w:rFonts w:ascii="宋体" w:eastAsia="宋体" w:hAnsi="宋体" w:cs="宋体" w:hint="eastAsia"/>
          <w:color w:val="666666"/>
          <w:kern w:val="0"/>
          <w:sz w:val="18"/>
          <w:szCs w:val="18"/>
        </w:rPr>
      </w:pPr>
    </w:p>
    <w:tbl>
      <w:tblPr>
        <w:tblW w:w="2153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992"/>
        <w:gridCol w:w="850"/>
        <w:gridCol w:w="851"/>
        <w:gridCol w:w="709"/>
        <w:gridCol w:w="850"/>
        <w:gridCol w:w="1843"/>
        <w:gridCol w:w="1276"/>
        <w:gridCol w:w="1134"/>
        <w:gridCol w:w="1275"/>
        <w:gridCol w:w="1134"/>
        <w:gridCol w:w="993"/>
        <w:gridCol w:w="708"/>
        <w:gridCol w:w="1773"/>
        <w:gridCol w:w="675"/>
        <w:gridCol w:w="679"/>
        <w:gridCol w:w="547"/>
        <w:gridCol w:w="572"/>
        <w:gridCol w:w="542"/>
        <w:gridCol w:w="597"/>
        <w:gridCol w:w="1136"/>
        <w:gridCol w:w="1417"/>
      </w:tblGrid>
      <w:tr w:rsidR="007A6645" w:rsidRPr="007A6645" w:rsidTr="007A6645">
        <w:trPr>
          <w:trHeight w:val="540"/>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18"/>
                <w:szCs w:val="18"/>
              </w:rPr>
              <w:t>2013年省级</w:t>
            </w:r>
            <w:proofErr w:type="gramStart"/>
            <w:r w:rsidRPr="007A6645">
              <w:rPr>
                <w:rFonts w:ascii="宋体" w:eastAsia="宋体" w:hAnsi="宋体" w:cs="宋体" w:hint="eastAsia"/>
                <w:kern w:val="0"/>
                <w:sz w:val="18"/>
                <w:szCs w:val="18"/>
              </w:rPr>
              <w:t>医保参保人员医疗</w:t>
            </w:r>
            <w:proofErr w:type="gramEnd"/>
            <w:r w:rsidRPr="007A6645">
              <w:rPr>
                <w:rFonts w:ascii="宋体" w:eastAsia="宋体" w:hAnsi="宋体" w:cs="宋体" w:hint="eastAsia"/>
                <w:kern w:val="0"/>
                <w:sz w:val="18"/>
                <w:szCs w:val="18"/>
              </w:rPr>
              <w:t>待遇标准</w:t>
            </w:r>
          </w:p>
        </w:tc>
      </w:tr>
      <w:tr w:rsidR="007A6645" w:rsidRPr="007A6645" w:rsidTr="007A6645">
        <w:trPr>
          <w:trHeight w:val="645"/>
          <w:tblCellSpacing w:w="0" w:type="dxa"/>
          <w:jc w:val="center"/>
        </w:trPr>
        <w:tc>
          <w:tcPr>
            <w:tcW w:w="985"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20"/>
                <w:szCs w:val="20"/>
              </w:rPr>
              <w:t xml:space="preserve">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普通门诊</w:t>
            </w:r>
          </w:p>
        </w:tc>
        <w:tc>
          <w:tcPr>
            <w:tcW w:w="6663" w:type="dxa"/>
            <w:gridSpan w:val="6"/>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门诊特殊病种</w:t>
            </w:r>
          </w:p>
        </w:tc>
        <w:tc>
          <w:tcPr>
            <w:tcW w:w="7784" w:type="dxa"/>
            <w:gridSpan w:val="8"/>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住院</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商业补充医疗保险</w:t>
            </w:r>
          </w:p>
        </w:tc>
        <w:tc>
          <w:tcPr>
            <w:tcW w:w="1136"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超商保费用（年终补助）</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proofErr w:type="gramStart"/>
            <w:r w:rsidRPr="007A6645">
              <w:rPr>
                <w:rFonts w:ascii="宋体" w:eastAsia="宋体" w:hAnsi="宋体" w:cs="宋体" w:hint="eastAsia"/>
                <w:kern w:val="0"/>
                <w:szCs w:val="21"/>
              </w:rPr>
              <w:t>药店购店</w:t>
            </w:r>
            <w:proofErr w:type="gramEnd"/>
          </w:p>
        </w:tc>
      </w:tr>
      <w:tr w:rsidR="007A6645" w:rsidRPr="007A6645" w:rsidTr="007A6645">
        <w:trPr>
          <w:trHeight w:val="1110"/>
          <w:tblCellSpacing w:w="0" w:type="dxa"/>
          <w:jc w:val="center"/>
        </w:trPr>
        <w:tc>
          <w:tcPr>
            <w:tcW w:w="985"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起付线</w:t>
            </w:r>
          </w:p>
        </w:tc>
        <w:tc>
          <w:tcPr>
            <w:tcW w:w="850"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封顶线</w:t>
            </w:r>
          </w:p>
        </w:tc>
        <w:tc>
          <w:tcPr>
            <w:tcW w:w="851"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一般医疗机构</w:t>
            </w:r>
          </w:p>
        </w:tc>
        <w:tc>
          <w:tcPr>
            <w:tcW w:w="70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社区医疗服务机构</w:t>
            </w:r>
          </w:p>
        </w:tc>
        <w:tc>
          <w:tcPr>
            <w:tcW w:w="850"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起付线</w:t>
            </w:r>
          </w:p>
        </w:tc>
        <w:tc>
          <w:tcPr>
            <w:tcW w:w="184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封顶线</w:t>
            </w:r>
          </w:p>
        </w:tc>
        <w:tc>
          <w:tcPr>
            <w:tcW w:w="1276"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一般医疗机构</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社区医疗服务机构</w:t>
            </w:r>
          </w:p>
        </w:tc>
        <w:tc>
          <w:tcPr>
            <w:tcW w:w="12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起付线</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三级甲等医疗机构</w:t>
            </w:r>
          </w:p>
        </w:tc>
        <w:tc>
          <w:tcPr>
            <w:tcW w:w="99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三级乙等医疗机构</w:t>
            </w:r>
          </w:p>
        </w:tc>
        <w:tc>
          <w:tcPr>
            <w:tcW w:w="708"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二级甲等医疗机构</w:t>
            </w:r>
          </w:p>
        </w:tc>
        <w:tc>
          <w:tcPr>
            <w:tcW w:w="177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起付线</w:t>
            </w:r>
          </w:p>
        </w:tc>
        <w:tc>
          <w:tcPr>
            <w:tcW w:w="6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二级乙等医疗机构</w:t>
            </w:r>
          </w:p>
        </w:tc>
        <w:tc>
          <w:tcPr>
            <w:tcW w:w="67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一级医疗机构</w:t>
            </w:r>
          </w:p>
        </w:tc>
        <w:tc>
          <w:tcPr>
            <w:tcW w:w="54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社区医疗服务机构</w:t>
            </w:r>
          </w:p>
        </w:tc>
        <w:tc>
          <w:tcPr>
            <w:tcW w:w="572"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起付线</w:t>
            </w:r>
          </w:p>
        </w:tc>
        <w:tc>
          <w:tcPr>
            <w:tcW w:w="542"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封顶线</w:t>
            </w:r>
          </w:p>
        </w:tc>
        <w:tc>
          <w:tcPr>
            <w:tcW w:w="59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个人分担比例</w:t>
            </w:r>
          </w:p>
        </w:tc>
        <w:tc>
          <w:tcPr>
            <w:tcW w:w="1136"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r>
      <w:tr w:rsidR="007A6645" w:rsidRPr="007A6645" w:rsidTr="007A6645">
        <w:trPr>
          <w:trHeight w:val="1110"/>
          <w:tblCellSpacing w:w="0" w:type="dxa"/>
          <w:jc w:val="center"/>
        </w:trPr>
        <w:tc>
          <w:tcPr>
            <w:tcW w:w="98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在职</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1500元</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10000元</w:t>
            </w:r>
          </w:p>
        </w:tc>
        <w:tc>
          <w:tcPr>
            <w:tcW w:w="851"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30.0%</w:t>
            </w:r>
          </w:p>
        </w:tc>
        <w:tc>
          <w:tcPr>
            <w:tcW w:w="70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24.0%</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1200元</w:t>
            </w:r>
          </w:p>
        </w:tc>
        <w:tc>
          <w:tcPr>
            <w:tcW w:w="1843"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高血压及糖尿病封顶线各为6000元。其它特殊病种封顶线130000元（与住院费用合并）</w:t>
            </w:r>
          </w:p>
        </w:tc>
        <w:tc>
          <w:tcPr>
            <w:tcW w:w="1276"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18"/>
                <w:szCs w:val="18"/>
              </w:rPr>
              <w:t>首次1200元，年内多次住院的逐次递减360元，直至为零</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15.0%</w:t>
            </w:r>
          </w:p>
        </w:tc>
        <w:tc>
          <w:tcPr>
            <w:tcW w:w="99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14.0%</w:t>
            </w:r>
          </w:p>
        </w:tc>
        <w:tc>
          <w:tcPr>
            <w:tcW w:w="708"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13.0%</w:t>
            </w:r>
          </w:p>
        </w:tc>
        <w:tc>
          <w:tcPr>
            <w:tcW w:w="1773"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首次950元，年内多次住院的逐次递减280元，直至为零</w:t>
            </w:r>
          </w:p>
        </w:tc>
        <w:tc>
          <w:tcPr>
            <w:tcW w:w="6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w:t>
            </w:r>
          </w:p>
        </w:tc>
        <w:tc>
          <w:tcPr>
            <w:tcW w:w="67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10.0%</w:t>
            </w:r>
          </w:p>
        </w:tc>
        <w:tc>
          <w:tcPr>
            <w:tcW w:w="54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8.0%</w:t>
            </w:r>
          </w:p>
        </w:tc>
        <w:tc>
          <w:tcPr>
            <w:tcW w:w="57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18"/>
                <w:szCs w:val="18"/>
              </w:rPr>
              <w:t>13万</w:t>
            </w:r>
          </w:p>
        </w:tc>
        <w:tc>
          <w:tcPr>
            <w:tcW w:w="54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18"/>
                <w:szCs w:val="18"/>
              </w:rPr>
              <w:t>28万</w:t>
            </w:r>
          </w:p>
        </w:tc>
        <w:tc>
          <w:tcPr>
            <w:tcW w:w="597"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10%</w:t>
            </w:r>
          </w:p>
        </w:tc>
        <w:tc>
          <w:tcPr>
            <w:tcW w:w="1136"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由企业补充医疗保险酌情支付</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每半个月购买</w:t>
            </w:r>
            <w:proofErr w:type="gramStart"/>
            <w:r w:rsidRPr="007A6645">
              <w:rPr>
                <w:rFonts w:ascii="宋体" w:eastAsia="宋体" w:hAnsi="宋体" w:cs="宋体" w:hint="eastAsia"/>
                <w:kern w:val="0"/>
                <w:szCs w:val="21"/>
              </w:rPr>
              <w:t>医</w:t>
            </w:r>
            <w:proofErr w:type="gramEnd"/>
            <w:r w:rsidRPr="007A6645">
              <w:rPr>
                <w:rFonts w:ascii="宋体" w:eastAsia="宋体" w:hAnsi="宋体" w:cs="宋体" w:hint="eastAsia"/>
                <w:kern w:val="0"/>
                <w:szCs w:val="21"/>
              </w:rPr>
              <w:t>保目录内药品150元</w:t>
            </w:r>
          </w:p>
        </w:tc>
      </w:tr>
      <w:tr w:rsidR="007A6645" w:rsidRPr="007A6645" w:rsidTr="007A6645">
        <w:trPr>
          <w:trHeight w:val="1140"/>
          <w:tblCellSpacing w:w="0" w:type="dxa"/>
          <w:jc w:val="center"/>
        </w:trPr>
        <w:tc>
          <w:tcPr>
            <w:tcW w:w="98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退休</w:t>
            </w: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22.0%</w:t>
            </w:r>
          </w:p>
        </w:tc>
        <w:tc>
          <w:tcPr>
            <w:tcW w:w="70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18.0%</w:t>
            </w: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8.0%</w:t>
            </w:r>
          </w:p>
        </w:tc>
        <w:tc>
          <w:tcPr>
            <w:tcW w:w="1275"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9.0%</w:t>
            </w:r>
          </w:p>
        </w:tc>
        <w:tc>
          <w:tcPr>
            <w:tcW w:w="708"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8.0%</w:t>
            </w:r>
          </w:p>
        </w:tc>
        <w:tc>
          <w:tcPr>
            <w:tcW w:w="1773"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7.0%</w:t>
            </w:r>
          </w:p>
        </w:tc>
        <w:tc>
          <w:tcPr>
            <w:tcW w:w="67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6.0%</w:t>
            </w:r>
          </w:p>
        </w:tc>
        <w:tc>
          <w:tcPr>
            <w:tcW w:w="54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136"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r>
      <w:tr w:rsidR="007A6645" w:rsidRPr="007A6645" w:rsidTr="007A6645">
        <w:trPr>
          <w:trHeight w:val="1140"/>
          <w:tblCellSpacing w:w="0" w:type="dxa"/>
          <w:jc w:val="center"/>
        </w:trPr>
        <w:tc>
          <w:tcPr>
            <w:tcW w:w="98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在职 公务员</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1200元</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12000元</w:t>
            </w:r>
          </w:p>
        </w:tc>
        <w:tc>
          <w:tcPr>
            <w:tcW w:w="851"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16.0%</w:t>
            </w:r>
          </w:p>
        </w:tc>
        <w:tc>
          <w:tcPr>
            <w:tcW w:w="70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13.0%</w:t>
            </w: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12.0%</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9.0%</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首次600元，年内多次住院的逐次递减180元，直至为零</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6.0%</w:t>
            </w:r>
          </w:p>
        </w:tc>
        <w:tc>
          <w:tcPr>
            <w:tcW w:w="99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5.6%</w:t>
            </w:r>
          </w:p>
        </w:tc>
        <w:tc>
          <w:tcPr>
            <w:tcW w:w="708"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5.2%</w:t>
            </w:r>
          </w:p>
        </w:tc>
        <w:tc>
          <w:tcPr>
            <w:tcW w:w="1773"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首次475元，年内多次住院的逐次递减140元，直至为零</w:t>
            </w:r>
          </w:p>
        </w:tc>
        <w:tc>
          <w:tcPr>
            <w:tcW w:w="6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4.8%</w:t>
            </w:r>
          </w:p>
        </w:tc>
        <w:tc>
          <w:tcPr>
            <w:tcW w:w="67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4.0%</w:t>
            </w:r>
          </w:p>
        </w:tc>
        <w:tc>
          <w:tcPr>
            <w:tcW w:w="54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3.2%</w:t>
            </w:r>
          </w:p>
        </w:tc>
        <w:tc>
          <w:tcPr>
            <w:tcW w:w="57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center"/>
              <w:rPr>
                <w:rFonts w:ascii="宋体" w:eastAsia="宋体" w:hAnsi="宋体" w:cs="宋体" w:hint="eastAsia"/>
                <w:kern w:val="0"/>
                <w:sz w:val="18"/>
                <w:szCs w:val="18"/>
              </w:rPr>
            </w:pPr>
            <w:r w:rsidRPr="007A6645">
              <w:rPr>
                <w:rFonts w:ascii="宋体" w:eastAsia="宋体" w:hAnsi="宋体" w:cs="宋体" w:hint="eastAsia"/>
                <w:kern w:val="0"/>
                <w:sz w:val="18"/>
                <w:szCs w:val="18"/>
              </w:rPr>
              <w:t>13万</w:t>
            </w:r>
          </w:p>
        </w:tc>
        <w:tc>
          <w:tcPr>
            <w:tcW w:w="542"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28万</w:t>
            </w:r>
          </w:p>
        </w:tc>
        <w:tc>
          <w:tcPr>
            <w:tcW w:w="597"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7%</w:t>
            </w:r>
          </w:p>
        </w:tc>
        <w:tc>
          <w:tcPr>
            <w:tcW w:w="1136" w:type="dxa"/>
            <w:vMerge w:val="restart"/>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公务员补助95%，个人支付5%</w:t>
            </w: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r>
      <w:tr w:rsidR="007A6645" w:rsidRPr="007A6645" w:rsidTr="007A6645">
        <w:trPr>
          <w:trHeight w:val="1080"/>
          <w:tblCellSpacing w:w="0" w:type="dxa"/>
          <w:jc w:val="center"/>
        </w:trPr>
        <w:tc>
          <w:tcPr>
            <w:tcW w:w="98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退休 公务员</w:t>
            </w: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11.0%</w:t>
            </w:r>
          </w:p>
        </w:tc>
        <w:tc>
          <w:tcPr>
            <w:tcW w:w="70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9.0%</w:t>
            </w: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7.0%</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5.0%</w:t>
            </w:r>
          </w:p>
        </w:tc>
        <w:tc>
          <w:tcPr>
            <w:tcW w:w="1275"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4.0%</w:t>
            </w:r>
          </w:p>
        </w:tc>
        <w:tc>
          <w:tcPr>
            <w:tcW w:w="993"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3.6%</w:t>
            </w:r>
          </w:p>
        </w:tc>
        <w:tc>
          <w:tcPr>
            <w:tcW w:w="708"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3.2%</w:t>
            </w:r>
          </w:p>
        </w:tc>
        <w:tc>
          <w:tcPr>
            <w:tcW w:w="1773"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2.8%</w:t>
            </w:r>
          </w:p>
        </w:tc>
        <w:tc>
          <w:tcPr>
            <w:tcW w:w="679"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2.4%</w:t>
            </w:r>
          </w:p>
        </w:tc>
        <w:tc>
          <w:tcPr>
            <w:tcW w:w="547" w:type="dxa"/>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center"/>
              <w:rPr>
                <w:rFonts w:ascii="宋体" w:eastAsia="宋体" w:hAnsi="宋体" w:cs="宋体" w:hint="eastAsia"/>
                <w:kern w:val="0"/>
                <w:szCs w:val="21"/>
              </w:rPr>
            </w:pPr>
            <w:r w:rsidRPr="007A6645">
              <w:rPr>
                <w:rFonts w:ascii="宋体" w:eastAsia="宋体" w:hAnsi="宋体" w:cs="宋体" w:hint="eastAsia"/>
                <w:kern w:val="0"/>
                <w:szCs w:val="21"/>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136"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jc w:val="left"/>
              <w:rPr>
                <w:rFonts w:ascii="宋体" w:eastAsia="宋体" w:hAnsi="宋体" w:cs="宋体"/>
                <w:kern w:val="0"/>
                <w:szCs w:val="21"/>
              </w:rPr>
            </w:pPr>
          </w:p>
        </w:tc>
      </w:tr>
      <w:tr w:rsidR="007A6645" w:rsidRPr="007A6645" w:rsidTr="007A6645">
        <w:trPr>
          <w:trHeight w:val="270"/>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left"/>
              <w:rPr>
                <w:rFonts w:ascii="宋体" w:eastAsia="宋体" w:hAnsi="宋体" w:cs="宋体" w:hint="eastAsia"/>
                <w:kern w:val="0"/>
                <w:szCs w:val="21"/>
              </w:rPr>
            </w:pPr>
            <w:r w:rsidRPr="007A6645">
              <w:rPr>
                <w:rFonts w:ascii="宋体" w:eastAsia="宋体" w:hAnsi="宋体" w:cs="宋体" w:hint="eastAsia"/>
                <w:kern w:val="0"/>
                <w:szCs w:val="21"/>
              </w:rPr>
              <w:t>1.门诊特殊病种高血压病和糖尿病由统筹基金支付的最高限额各为6000元。</w:t>
            </w:r>
          </w:p>
        </w:tc>
      </w:tr>
      <w:tr w:rsidR="007A6645" w:rsidRPr="007A6645" w:rsidTr="007A6645">
        <w:trPr>
          <w:trHeight w:val="300"/>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left"/>
              <w:rPr>
                <w:rFonts w:ascii="宋体" w:eastAsia="宋体" w:hAnsi="宋体" w:cs="宋体" w:hint="eastAsia"/>
                <w:kern w:val="0"/>
                <w:szCs w:val="21"/>
              </w:rPr>
            </w:pPr>
            <w:r w:rsidRPr="007A6645">
              <w:rPr>
                <w:rFonts w:ascii="宋体" w:eastAsia="宋体" w:hAnsi="宋体" w:cs="宋体" w:hint="eastAsia"/>
                <w:kern w:val="0"/>
                <w:szCs w:val="21"/>
              </w:rPr>
              <w:t>2.新参保未满一年的参保人员统筹基金支付最高封顶线6.5万元。中断参保人员在3个月内补缴的，正常享受待遇；中断参保超过3个月的，中断缴费期间不再享受</w:t>
            </w:r>
            <w:proofErr w:type="gramStart"/>
            <w:r w:rsidRPr="007A6645">
              <w:rPr>
                <w:rFonts w:ascii="宋体" w:eastAsia="宋体" w:hAnsi="宋体" w:cs="宋体" w:hint="eastAsia"/>
                <w:kern w:val="0"/>
                <w:szCs w:val="21"/>
              </w:rPr>
              <w:t>医</w:t>
            </w:r>
            <w:proofErr w:type="gramEnd"/>
            <w:r w:rsidRPr="007A6645">
              <w:rPr>
                <w:rFonts w:ascii="宋体" w:eastAsia="宋体" w:hAnsi="宋体" w:cs="宋体" w:hint="eastAsia"/>
                <w:kern w:val="0"/>
                <w:szCs w:val="21"/>
              </w:rPr>
              <w:t>保待遇，如有补缴，补缴后一年内封顶线6.5万元，如不补缴重新参保的，两年内封顶线6.5万元。</w:t>
            </w:r>
          </w:p>
        </w:tc>
      </w:tr>
      <w:tr w:rsidR="007A6645" w:rsidRPr="007A6645" w:rsidTr="007A6645">
        <w:trPr>
          <w:trHeight w:val="300"/>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left"/>
              <w:rPr>
                <w:rFonts w:ascii="宋体" w:eastAsia="宋体" w:hAnsi="宋体" w:cs="宋体" w:hint="eastAsia"/>
                <w:kern w:val="0"/>
                <w:szCs w:val="21"/>
              </w:rPr>
            </w:pPr>
            <w:r w:rsidRPr="007A6645">
              <w:rPr>
                <w:rFonts w:ascii="宋体" w:eastAsia="宋体" w:hAnsi="宋体" w:cs="宋体" w:hint="eastAsia"/>
                <w:kern w:val="0"/>
                <w:szCs w:val="21"/>
              </w:rPr>
              <w:t>3.公务员个人</w:t>
            </w:r>
            <w:proofErr w:type="gramStart"/>
            <w:r w:rsidRPr="007A6645">
              <w:rPr>
                <w:rFonts w:ascii="宋体" w:eastAsia="宋体" w:hAnsi="宋体" w:cs="宋体" w:hint="eastAsia"/>
                <w:kern w:val="0"/>
                <w:szCs w:val="21"/>
              </w:rPr>
              <w:t>帐户</w:t>
            </w:r>
            <w:proofErr w:type="gramEnd"/>
            <w:r w:rsidRPr="007A6645">
              <w:rPr>
                <w:rFonts w:ascii="宋体" w:eastAsia="宋体" w:hAnsi="宋体" w:cs="宋体" w:hint="eastAsia"/>
                <w:kern w:val="0"/>
                <w:szCs w:val="21"/>
              </w:rPr>
              <w:t>按工资基数每月划拨标准：40周岁以下4%，41岁到退休5%，退休人员6%；非公务员个人</w:t>
            </w:r>
            <w:proofErr w:type="gramStart"/>
            <w:r w:rsidRPr="007A6645">
              <w:rPr>
                <w:rFonts w:ascii="宋体" w:eastAsia="宋体" w:hAnsi="宋体" w:cs="宋体" w:hint="eastAsia"/>
                <w:kern w:val="0"/>
                <w:szCs w:val="21"/>
              </w:rPr>
              <w:t>帐户</w:t>
            </w:r>
            <w:proofErr w:type="gramEnd"/>
            <w:r w:rsidRPr="007A6645">
              <w:rPr>
                <w:rFonts w:ascii="宋体" w:eastAsia="宋体" w:hAnsi="宋体" w:cs="宋体" w:hint="eastAsia"/>
                <w:kern w:val="0"/>
                <w:szCs w:val="21"/>
              </w:rPr>
              <w:t>按工资基数划拨标准：40周岁以下3%，41岁到退休4%，退休人员5%。</w:t>
            </w:r>
          </w:p>
        </w:tc>
      </w:tr>
      <w:tr w:rsidR="007A6645" w:rsidRPr="007A6645" w:rsidTr="007A6645">
        <w:trPr>
          <w:trHeight w:val="300"/>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left"/>
              <w:rPr>
                <w:rFonts w:ascii="宋体" w:eastAsia="宋体" w:hAnsi="宋体" w:cs="宋体" w:hint="eastAsia"/>
                <w:kern w:val="0"/>
                <w:szCs w:val="21"/>
              </w:rPr>
            </w:pPr>
            <w:r w:rsidRPr="007A6645">
              <w:rPr>
                <w:rFonts w:ascii="宋体" w:eastAsia="宋体" w:hAnsi="宋体" w:cs="宋体" w:hint="eastAsia"/>
                <w:kern w:val="0"/>
                <w:szCs w:val="21"/>
              </w:rPr>
              <w:t>4.封顶线13万元内，门诊特殊病种（不含高血压、</w:t>
            </w:r>
            <w:proofErr w:type="gramStart"/>
            <w:r w:rsidRPr="007A6645">
              <w:rPr>
                <w:rFonts w:ascii="宋体" w:eastAsia="宋体" w:hAnsi="宋体" w:cs="宋体" w:hint="eastAsia"/>
                <w:kern w:val="0"/>
                <w:szCs w:val="21"/>
              </w:rPr>
              <w:t>粮尿病</w:t>
            </w:r>
            <w:proofErr w:type="gramEnd"/>
            <w:r w:rsidRPr="007A6645">
              <w:rPr>
                <w:rFonts w:ascii="宋体" w:eastAsia="宋体" w:hAnsi="宋体" w:cs="宋体" w:hint="eastAsia"/>
                <w:kern w:val="0"/>
                <w:szCs w:val="21"/>
              </w:rPr>
              <w:t>）符合</w:t>
            </w:r>
            <w:proofErr w:type="gramStart"/>
            <w:r w:rsidRPr="007A6645">
              <w:rPr>
                <w:rFonts w:ascii="宋体" w:eastAsia="宋体" w:hAnsi="宋体" w:cs="宋体" w:hint="eastAsia"/>
                <w:kern w:val="0"/>
                <w:szCs w:val="21"/>
              </w:rPr>
              <w:t>医</w:t>
            </w:r>
            <w:proofErr w:type="gramEnd"/>
            <w:r w:rsidRPr="007A6645">
              <w:rPr>
                <w:rFonts w:ascii="宋体" w:eastAsia="宋体" w:hAnsi="宋体" w:cs="宋体" w:hint="eastAsia"/>
                <w:kern w:val="0"/>
                <w:szCs w:val="21"/>
              </w:rPr>
              <w:t>保目录个人支付（含个人账户和现金）累计超过2500元部分，由统筹基金补助80%。</w:t>
            </w:r>
          </w:p>
        </w:tc>
      </w:tr>
      <w:tr w:rsidR="007A6645" w:rsidRPr="007A6645" w:rsidTr="007A6645">
        <w:trPr>
          <w:trHeight w:val="555"/>
          <w:tblCellSpacing w:w="0" w:type="dxa"/>
          <w:jc w:val="center"/>
        </w:trPr>
        <w:tc>
          <w:tcPr>
            <w:tcW w:w="21538" w:type="dxa"/>
            <w:gridSpan w:val="22"/>
            <w:tcBorders>
              <w:top w:val="outset" w:sz="6" w:space="0" w:color="auto"/>
              <w:left w:val="outset" w:sz="6" w:space="0" w:color="auto"/>
              <w:bottom w:val="outset" w:sz="6" w:space="0" w:color="auto"/>
              <w:right w:val="outset" w:sz="6" w:space="0" w:color="auto"/>
            </w:tcBorders>
            <w:vAlign w:val="center"/>
            <w:hideMark/>
          </w:tcPr>
          <w:p w:rsidR="007A6645" w:rsidRPr="007A6645" w:rsidRDefault="007A6645" w:rsidP="007A6645">
            <w:pPr>
              <w:widowControl/>
              <w:spacing w:before="150" w:line="375" w:lineRule="atLeast"/>
              <w:jc w:val="left"/>
              <w:rPr>
                <w:rFonts w:ascii="宋体" w:eastAsia="宋体" w:hAnsi="宋体" w:cs="宋体" w:hint="eastAsia"/>
                <w:kern w:val="0"/>
                <w:szCs w:val="21"/>
              </w:rPr>
            </w:pPr>
            <w:r w:rsidRPr="007A6645">
              <w:rPr>
                <w:rFonts w:ascii="宋体" w:eastAsia="宋体" w:hAnsi="宋体" w:cs="宋体" w:hint="eastAsia"/>
                <w:kern w:val="0"/>
                <w:szCs w:val="21"/>
              </w:rPr>
              <w:t>5.公务员困难补助：在一个医疗结算年度内，公务员符合基本医疗保险目录范围内的医疗费用个人支付部分（包括住院及门诊特殊和治疗项目统筹基金起付标准、统筹基金支付阶段个人分担比例部分、商业补充医疗保险支付阶段个人分担比例部分及普通门诊统筹基金最高支付限额以上部分），累计超过3000元以上部分（含现金及个人</w:t>
            </w:r>
            <w:proofErr w:type="gramStart"/>
            <w:r w:rsidRPr="007A6645">
              <w:rPr>
                <w:rFonts w:ascii="宋体" w:eastAsia="宋体" w:hAnsi="宋体" w:cs="宋体" w:hint="eastAsia"/>
                <w:kern w:val="0"/>
                <w:szCs w:val="21"/>
              </w:rPr>
              <w:t>帐户</w:t>
            </w:r>
            <w:proofErr w:type="gramEnd"/>
            <w:r w:rsidRPr="007A6645">
              <w:rPr>
                <w:rFonts w:ascii="宋体" w:eastAsia="宋体" w:hAnsi="宋体" w:cs="宋体" w:hint="eastAsia"/>
                <w:kern w:val="0"/>
                <w:szCs w:val="21"/>
              </w:rPr>
              <w:t>支付），由公务员医疗补助经费给予80%的补助。</w:t>
            </w:r>
          </w:p>
        </w:tc>
      </w:tr>
    </w:tbl>
    <w:p w:rsidR="007A6645" w:rsidRDefault="007A6645"/>
    <w:sectPr w:rsidR="007A6645" w:rsidSect="007A6645">
      <w:pgSz w:w="23814" w:h="16839" w:orient="landscape" w:code="8"/>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45"/>
    <w:rsid w:val="007A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2569-C250-439A-9BF7-2957F185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
    <w:name w:val="style4"/>
    <w:basedOn w:val="a0"/>
    <w:rsid w:val="007A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24004">
      <w:bodyDiv w:val="1"/>
      <w:marLeft w:val="0"/>
      <w:marRight w:val="0"/>
      <w:marTop w:val="0"/>
      <w:marBottom w:val="0"/>
      <w:divBdr>
        <w:top w:val="none" w:sz="0" w:space="0" w:color="auto"/>
        <w:left w:val="none" w:sz="0" w:space="0" w:color="auto"/>
        <w:bottom w:val="none" w:sz="0" w:space="0" w:color="auto"/>
        <w:right w:val="none" w:sz="0" w:space="0" w:color="auto"/>
      </w:divBdr>
      <w:divsChild>
        <w:div w:id="429785775">
          <w:marLeft w:val="0"/>
          <w:marRight w:val="0"/>
          <w:marTop w:val="0"/>
          <w:marBottom w:val="0"/>
          <w:divBdr>
            <w:top w:val="none" w:sz="0" w:space="0" w:color="auto"/>
            <w:left w:val="single" w:sz="6" w:space="0" w:color="CACACA"/>
            <w:bottom w:val="none" w:sz="0" w:space="0" w:color="auto"/>
            <w:right w:val="single" w:sz="6" w:space="0" w:color="CACACA"/>
          </w:divBdr>
          <w:divsChild>
            <w:div w:id="1234778590">
              <w:marLeft w:val="0"/>
              <w:marRight w:val="0"/>
              <w:marTop w:val="0"/>
              <w:marBottom w:val="0"/>
              <w:divBdr>
                <w:top w:val="none" w:sz="0" w:space="0" w:color="auto"/>
                <w:left w:val="none" w:sz="0" w:space="0" w:color="auto"/>
                <w:bottom w:val="none" w:sz="0" w:space="0" w:color="auto"/>
                <w:right w:val="none" w:sz="0" w:space="0" w:color="auto"/>
              </w:divBdr>
              <w:divsChild>
                <w:div w:id="728919056">
                  <w:marLeft w:val="0"/>
                  <w:marRight w:val="0"/>
                  <w:marTop w:val="0"/>
                  <w:marBottom w:val="0"/>
                  <w:divBdr>
                    <w:top w:val="single" w:sz="6" w:space="8" w:color="CCCCCC"/>
                    <w:left w:val="single" w:sz="6" w:space="0" w:color="CCCCCC"/>
                    <w:bottom w:val="single" w:sz="6" w:space="0" w:color="CCCCCC"/>
                    <w:right w:val="single" w:sz="6" w:space="0" w:color="CCCCCC"/>
                  </w:divBdr>
                  <w:divsChild>
                    <w:div w:id="791753315">
                      <w:marLeft w:val="0"/>
                      <w:marRight w:val="0"/>
                      <w:marTop w:val="360"/>
                      <w:marBottom w:val="0"/>
                      <w:divBdr>
                        <w:top w:val="none" w:sz="0" w:space="0" w:color="auto"/>
                        <w:left w:val="none" w:sz="0" w:space="0" w:color="auto"/>
                        <w:bottom w:val="none" w:sz="0" w:space="0" w:color="auto"/>
                        <w:right w:val="none" w:sz="0" w:space="0" w:color="auto"/>
                      </w:divBdr>
                    </w:div>
                    <w:div w:id="1260411031">
                      <w:marLeft w:val="0"/>
                      <w:marRight w:val="0"/>
                      <w:marTop w:val="150"/>
                      <w:marBottom w:val="0"/>
                      <w:divBdr>
                        <w:top w:val="none" w:sz="0" w:space="0" w:color="auto"/>
                        <w:left w:val="none" w:sz="0" w:space="0" w:color="auto"/>
                        <w:bottom w:val="none" w:sz="0" w:space="0" w:color="auto"/>
                        <w:right w:val="none" w:sz="0" w:space="0" w:color="auto"/>
                      </w:divBdr>
                      <w:divsChild>
                        <w:div w:id="2131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2014-05-04T06:35:00Z</dcterms:created>
  <dcterms:modified xsi:type="dcterms:W3CDTF">2014-05-04T06:43:00Z</dcterms:modified>
</cp:coreProperties>
</file>