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color w:val="000000"/>
          <w:sz w:val="30"/>
          <w:szCs w:val="30"/>
          <w:lang w:eastAsia="zh-CN"/>
        </w:rPr>
      </w:pPr>
      <w:r>
        <w:rPr>
          <w:rFonts w:hint="eastAsia" w:eastAsia="黑体"/>
          <w:color w:val="000000"/>
          <w:sz w:val="30"/>
          <w:szCs w:val="30"/>
        </w:rPr>
        <w:t>附件</w:t>
      </w:r>
      <w:r>
        <w:rPr>
          <w:rFonts w:hint="eastAsia" w:eastAsia="黑体"/>
          <w:color w:val="000000"/>
          <w:sz w:val="30"/>
          <w:szCs w:val="30"/>
          <w:lang w:val="en-US" w:eastAsia="zh-CN"/>
        </w:rPr>
        <w:t>1</w:t>
      </w:r>
    </w:p>
    <w:p>
      <w:pPr>
        <w:spacing w:line="360" w:lineRule="auto"/>
        <w:jc w:val="center"/>
        <w:rPr>
          <w:rFonts w:eastAsia="黑体"/>
          <w:color w:val="000000"/>
          <w:sz w:val="30"/>
          <w:szCs w:val="30"/>
        </w:rPr>
      </w:pPr>
      <w:bookmarkStart w:id="0" w:name="_GoBack"/>
      <w:r>
        <w:rPr>
          <w:rFonts w:hint="eastAsia" w:eastAsia="黑体"/>
          <w:color w:val="000000"/>
          <w:sz w:val="30"/>
          <w:szCs w:val="30"/>
        </w:rPr>
        <w:t>“高校依法治校能力提升”专题网络培训课程列表</w:t>
      </w:r>
    </w:p>
    <w:bookmarkEnd w:id="0"/>
    <w:tbl>
      <w:tblPr>
        <w:tblStyle w:val="4"/>
        <w:tblW w:w="10535" w:type="dxa"/>
        <w:jc w:val="center"/>
        <w:tblInd w:w="-13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104"/>
        <w:gridCol w:w="992"/>
        <w:gridCol w:w="36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b/>
                <w:bCs/>
                <w:color w:val="000000"/>
                <w:kern w:val="0"/>
                <w:sz w:val="24"/>
              </w:rPr>
              <w:t>模块</w:t>
            </w:r>
          </w:p>
        </w:tc>
        <w:tc>
          <w:tcPr>
            <w:tcW w:w="5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b/>
                <w:bCs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3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b/>
                <w:bCs/>
                <w:color w:val="000000"/>
                <w:kern w:val="0"/>
                <w:sz w:val="24"/>
              </w:rPr>
              <w:t>单位与职务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法治观念法律素养提升</w:t>
            </w: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落实《高等教育法》与依法治校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孙霄兵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教育部政策法规司原司长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运用法治思维和法治方式化解矛盾、维护稳定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马怀德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中国政法大学副校长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树立宪法观念，推进依法治校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韩大元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中国人民大学法学院院长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中华民族优秀的法律传统与史鉴价值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张晋藩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中国政法大学法律史学研究院名誉院长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法制思维和法治方式维度下的高校党建工作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张维维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北京航空航天大学原党委常务副书记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法治思维与大学治理——以司法审查为视角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程雁雷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安徽大学副校长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深刻领会习主席关于党和法高度统一关系的重要论述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李海涛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国防大学马克思主义教研部科学社会主义教研室副主任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看得见的法治 摸得着的幸福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李  勇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国家行政学院法学教研部研究员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“七五”普法 唱响法治主旋律系列微课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微  课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相关法律法规解读</w:t>
            </w: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高校学术治理的法治框架：《高等学校学术委员会规程》解读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王大泉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教育部政法司副司长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高校学术治理的法治框架：《高等学校预防与处理学术不端行为办法》解读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王大泉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教育部政法司副司长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《普通高等学校学生管理规定》（教育部令第41号）释义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解汉林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教育部学生司学籍学历管理处处长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高校后勤管理的法律解读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张  峥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北京市高朋律师事务所高级合伙人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《教育法》修订解读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张维平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沈阳师范大学教授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《民办教育促进法》解读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杨  挺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西南大学教育学部教授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高校学位诉讼案例解析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王敬波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中国政法大学法学院教授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高校依法治理能力提高</w:t>
            </w: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我国高等学校法律治理和综合改革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孙霄兵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教育部政策法规司原司长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高等教育法修订与推进高校依法治校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王大泉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教育部政策法规司副司长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发挥教职工代表大会作用 推进学校民主管理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陈志标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中国教科文卫体工会副主席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高校行政案件的理论与实践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耿宝建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最高人民法院行政审判庭法官、审判长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构建科学统一的依法治校制度体系，着力提升依法治校水平——华中师范大学依法治校的探索与实践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马  敏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华中师范大学原党委书记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如何提升依法治理的能力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薛刚凌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中国政法大学法学院院长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大学章程与大学治理现代化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周光礼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中国人民大学教育学院副院长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《普通高等学校学生管理规定》（教育部令第41号）在高校中的实践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高平平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西南交通大学党委学生工作部部长</w:t>
            </w:r>
          </w:p>
        </w:tc>
      </w:tr>
    </w:tbl>
    <w:p>
      <w:pPr>
        <w:pStyle w:val="5"/>
        <w:spacing w:line="240" w:lineRule="auto"/>
        <w:ind w:leftChars="-88" w:hanging="184" w:hangingChars="77"/>
      </w:pPr>
      <w:r>
        <w:rPr>
          <w:rFonts w:ascii="Times New Roman" w:hAnsi="Times New Roman"/>
        </w:rPr>
        <w:t>说明：</w:t>
      </w:r>
      <w:r>
        <w:rPr>
          <w:rFonts w:hint="eastAsia" w:ascii="Times New Roman" w:hAnsi="Times New Roman"/>
        </w:rPr>
        <w:t>个别课程或稍有调整，请以平台最终发布课程为准。</w:t>
      </w: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pgNumType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6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01D0D"/>
    <w:rsid w:val="43501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2018-11-01T07:12:00Z</dcterms:created>
  <dc:creator>Administrator</dc:creator>
  <cp:lastModifiedBy>Administrator</cp:lastModifiedBy>
  <dcterms:modified xsi:type="dcterms:W3CDTF">2018-11-01T07:13:40Z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